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455873">
        <w:rPr>
          <w:sz w:val="28"/>
        </w:rPr>
        <w:t>Mensch ärgere dich nicht</w:t>
      </w:r>
    </w:p>
    <w:p w:rsidR="00694A63" w:rsidRPr="00694A63" w:rsidRDefault="00694A63">
      <w:pPr>
        <w:pStyle w:val="IQB-Teilaufgabentitel"/>
        <w:rPr>
          <w:b/>
        </w:rPr>
      </w:pPr>
      <w:r w:rsidRPr="00694A63">
        <w:rPr>
          <w:b/>
        </w:rPr>
        <w:t>Merkmal</w:t>
      </w:r>
      <w:r w:rsidR="00220FFD">
        <w:rPr>
          <w:b/>
        </w:rPr>
        <w:t>e</w:t>
      </w:r>
      <w:r w:rsidR="009C235D">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455873" w:rsidTr="00455873">
        <w:tc>
          <w:tcPr>
            <w:tcW w:w="2466" w:type="dxa"/>
            <w:tcBorders>
              <w:top w:val="single" w:sz="4" w:space="0" w:color="auto"/>
            </w:tcBorders>
            <w:vAlign w:val="center"/>
          </w:tcPr>
          <w:p w:rsidR="00455873" w:rsidRDefault="00455873" w:rsidP="00337876">
            <w:pPr>
              <w:pStyle w:val="IQB-Merkmal"/>
            </w:pPr>
            <w:r>
              <w:t>Leitidee</w:t>
            </w:r>
          </w:p>
        </w:tc>
        <w:tc>
          <w:tcPr>
            <w:tcW w:w="6604" w:type="dxa"/>
            <w:tcBorders>
              <w:top w:val="single" w:sz="4" w:space="0" w:color="auto"/>
            </w:tcBorders>
          </w:tcPr>
          <w:p w:rsidR="00455873" w:rsidRDefault="00455873" w:rsidP="00337876">
            <w:pPr>
              <w:pStyle w:val="IQB-Merkmalswert"/>
            </w:pPr>
            <w:r>
              <w:t>5. Daten und Zufall</w:t>
            </w:r>
          </w:p>
        </w:tc>
      </w:tr>
      <w:tr w:rsidR="00455873" w:rsidTr="00455873">
        <w:tc>
          <w:tcPr>
            <w:tcW w:w="2466" w:type="dxa"/>
            <w:vAlign w:val="center"/>
          </w:tcPr>
          <w:p w:rsidR="00455873" w:rsidRDefault="00455873" w:rsidP="00337876">
            <w:pPr>
              <w:pStyle w:val="IQB-Merkmal"/>
            </w:pPr>
            <w:r>
              <w:t>Allgemeine Kompetenz</w:t>
            </w:r>
          </w:p>
        </w:tc>
        <w:tc>
          <w:tcPr>
            <w:tcW w:w="6604" w:type="dxa"/>
          </w:tcPr>
          <w:p w:rsidR="00455873" w:rsidRDefault="00455873" w:rsidP="00337876">
            <w:pPr>
              <w:pStyle w:val="IQB-Merkmalswert"/>
            </w:pPr>
            <w:r w:rsidRPr="00F11C3C">
              <w:t>Mathematisches Modellieren (K3)</w:t>
            </w:r>
          </w:p>
        </w:tc>
      </w:tr>
      <w:tr w:rsidR="00455873" w:rsidTr="00455873">
        <w:tc>
          <w:tcPr>
            <w:tcW w:w="2466" w:type="dxa"/>
            <w:vAlign w:val="center"/>
          </w:tcPr>
          <w:p w:rsidR="00455873" w:rsidRDefault="00455873" w:rsidP="00337876">
            <w:pPr>
              <w:pStyle w:val="IQB-Merkmal"/>
            </w:pPr>
            <w:r>
              <w:t>Anforderungsbereich</w:t>
            </w:r>
          </w:p>
        </w:tc>
        <w:tc>
          <w:tcPr>
            <w:tcW w:w="6604" w:type="dxa"/>
          </w:tcPr>
          <w:p w:rsidR="00455873" w:rsidRDefault="00455873" w:rsidP="00337876">
            <w:pPr>
              <w:pStyle w:val="IQB-Merkmalswert"/>
            </w:pPr>
            <w:r>
              <w:t>I</w:t>
            </w:r>
          </w:p>
        </w:tc>
      </w:tr>
      <w:tr w:rsidR="00455873" w:rsidTr="00455873">
        <w:tc>
          <w:tcPr>
            <w:tcW w:w="2466" w:type="dxa"/>
            <w:tcBorders>
              <w:bottom w:val="single" w:sz="4" w:space="0" w:color="auto"/>
            </w:tcBorders>
            <w:vAlign w:val="center"/>
          </w:tcPr>
          <w:p w:rsidR="00455873" w:rsidRDefault="00455873" w:rsidP="00337876">
            <w:pPr>
              <w:pStyle w:val="IQB-Merkmal"/>
            </w:pPr>
            <w:r>
              <w:t>Kompetenzstufe</w:t>
            </w:r>
          </w:p>
        </w:tc>
        <w:tc>
          <w:tcPr>
            <w:tcW w:w="6604" w:type="dxa"/>
            <w:tcBorders>
              <w:bottom w:val="single" w:sz="4" w:space="0" w:color="auto"/>
            </w:tcBorders>
          </w:tcPr>
          <w:p w:rsidR="00455873" w:rsidRDefault="00455873" w:rsidP="00337876">
            <w:pPr>
              <w:pStyle w:val="IQB-Merkmalswert"/>
            </w:pPr>
            <w:r>
              <w:t>3</w:t>
            </w:r>
          </w:p>
        </w:tc>
      </w:tr>
    </w:tbl>
    <w:p w:rsidR="009C235D" w:rsidRPr="00694A63" w:rsidRDefault="009C235D" w:rsidP="009C235D">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455873" w:rsidTr="00455873">
        <w:tc>
          <w:tcPr>
            <w:tcW w:w="2466" w:type="dxa"/>
            <w:tcBorders>
              <w:top w:val="single" w:sz="4" w:space="0" w:color="auto"/>
            </w:tcBorders>
            <w:vAlign w:val="center"/>
          </w:tcPr>
          <w:p w:rsidR="00455873" w:rsidRDefault="00455873" w:rsidP="00337876">
            <w:pPr>
              <w:pStyle w:val="IQB-Merkmal"/>
            </w:pPr>
            <w:r>
              <w:t>Leitidee</w:t>
            </w:r>
          </w:p>
        </w:tc>
        <w:tc>
          <w:tcPr>
            <w:tcW w:w="6604" w:type="dxa"/>
            <w:tcBorders>
              <w:top w:val="single" w:sz="4" w:space="0" w:color="auto"/>
            </w:tcBorders>
          </w:tcPr>
          <w:p w:rsidR="00455873" w:rsidRDefault="00455873" w:rsidP="00337876">
            <w:pPr>
              <w:pStyle w:val="IQB-Merkmalswert"/>
            </w:pPr>
            <w:r>
              <w:t>5. Daten und Zufall</w:t>
            </w:r>
          </w:p>
        </w:tc>
      </w:tr>
      <w:tr w:rsidR="00455873" w:rsidTr="00455873">
        <w:tc>
          <w:tcPr>
            <w:tcW w:w="2466" w:type="dxa"/>
            <w:vAlign w:val="center"/>
          </w:tcPr>
          <w:p w:rsidR="00455873" w:rsidRDefault="00455873" w:rsidP="00337876">
            <w:pPr>
              <w:pStyle w:val="IQB-Merkmal"/>
            </w:pPr>
            <w:r>
              <w:t>Allgemeine Kompetenz</w:t>
            </w:r>
          </w:p>
        </w:tc>
        <w:tc>
          <w:tcPr>
            <w:tcW w:w="6604" w:type="dxa"/>
          </w:tcPr>
          <w:p w:rsidR="00455873" w:rsidRDefault="00455873" w:rsidP="00337876">
            <w:pPr>
              <w:pStyle w:val="IQB-Merkmalswert"/>
            </w:pPr>
            <w:r w:rsidRPr="00F11C3C">
              <w:t>Mathematisches Argumentieren (K1)</w:t>
            </w:r>
            <w:r>
              <w:t>,</w:t>
            </w:r>
          </w:p>
          <w:p w:rsidR="00455873" w:rsidRDefault="00455873" w:rsidP="00337876">
            <w:pPr>
              <w:pStyle w:val="IQB-Merkmalswert"/>
            </w:pPr>
            <w:r w:rsidRPr="00F11C3C">
              <w:t>Mathematisches Modellieren (K3)</w:t>
            </w:r>
            <w:r>
              <w:t>,</w:t>
            </w:r>
          </w:p>
          <w:p w:rsidR="00455873" w:rsidRDefault="00455873" w:rsidP="00337876">
            <w:pPr>
              <w:pStyle w:val="IQB-Merkmalswert"/>
            </w:pPr>
            <w:r w:rsidRPr="00F11C3C">
              <w:t>Mathematisch kommunizieren (K6)</w:t>
            </w:r>
          </w:p>
        </w:tc>
      </w:tr>
      <w:tr w:rsidR="00455873" w:rsidTr="00455873">
        <w:tc>
          <w:tcPr>
            <w:tcW w:w="2466" w:type="dxa"/>
            <w:vAlign w:val="center"/>
          </w:tcPr>
          <w:p w:rsidR="00455873" w:rsidRDefault="00455873" w:rsidP="00337876">
            <w:pPr>
              <w:pStyle w:val="IQB-Merkmal"/>
            </w:pPr>
            <w:r>
              <w:t>Anforderungsbereich</w:t>
            </w:r>
          </w:p>
        </w:tc>
        <w:tc>
          <w:tcPr>
            <w:tcW w:w="6604" w:type="dxa"/>
          </w:tcPr>
          <w:p w:rsidR="00455873" w:rsidRDefault="00455873" w:rsidP="00337876">
            <w:pPr>
              <w:pStyle w:val="IQB-Merkmalswert"/>
            </w:pPr>
            <w:r>
              <w:t>II</w:t>
            </w:r>
          </w:p>
        </w:tc>
      </w:tr>
      <w:tr w:rsidR="00455873" w:rsidTr="00455873">
        <w:tc>
          <w:tcPr>
            <w:tcW w:w="2466" w:type="dxa"/>
            <w:tcBorders>
              <w:bottom w:val="single" w:sz="4" w:space="0" w:color="auto"/>
            </w:tcBorders>
            <w:vAlign w:val="center"/>
          </w:tcPr>
          <w:p w:rsidR="00455873" w:rsidRDefault="00455873" w:rsidP="00337876">
            <w:pPr>
              <w:pStyle w:val="IQB-Merkmal"/>
            </w:pPr>
            <w:r>
              <w:t>Kompetenzstufe</w:t>
            </w:r>
          </w:p>
        </w:tc>
        <w:tc>
          <w:tcPr>
            <w:tcW w:w="6604" w:type="dxa"/>
            <w:tcBorders>
              <w:bottom w:val="single" w:sz="4" w:space="0" w:color="auto"/>
            </w:tcBorders>
          </w:tcPr>
          <w:p w:rsidR="00455873" w:rsidRDefault="00455873" w:rsidP="00337876">
            <w:pPr>
              <w:pStyle w:val="IQB-Merkmalswert"/>
            </w:pPr>
            <w:r>
              <w:t>3</w:t>
            </w:r>
          </w:p>
        </w:tc>
      </w:tr>
    </w:tbl>
    <w:p w:rsidR="00694A63" w:rsidRPr="00694A63" w:rsidRDefault="00694A63" w:rsidP="00694A63">
      <w:pPr>
        <w:pStyle w:val="IQB-Teilaufgabentitel"/>
        <w:rPr>
          <w:b/>
        </w:rPr>
      </w:pPr>
      <w:r w:rsidRPr="00694A63">
        <w:rPr>
          <w:b/>
        </w:rPr>
        <w:t>Aufgabenbezogener Kommentar</w:t>
      </w:r>
    </w:p>
    <w:p w:rsidR="00455873" w:rsidRPr="00FD2D65" w:rsidRDefault="00455873" w:rsidP="00455873">
      <w:pPr>
        <w:pStyle w:val="IQB-Standard"/>
        <w:rPr>
          <w:sz w:val="22"/>
          <w:szCs w:val="22"/>
        </w:rPr>
      </w:pPr>
      <w:r w:rsidRPr="00FD2D65">
        <w:rPr>
          <w:sz w:val="22"/>
          <w:szCs w:val="22"/>
        </w:rPr>
        <w:t>Weil es in allen Teilaufgaben um die Berechnung von Wahrscheinlichkeiten geht, werden sie der Leitidee Daten und Zufall (L5) zugeordnet.</w:t>
      </w:r>
    </w:p>
    <w:p w:rsidR="00455873" w:rsidRPr="00FD2D65" w:rsidRDefault="00455873" w:rsidP="00455873">
      <w:pPr>
        <w:pStyle w:val="IQB-Standard"/>
        <w:rPr>
          <w:sz w:val="22"/>
          <w:szCs w:val="22"/>
        </w:rPr>
      </w:pPr>
      <w:r w:rsidRPr="00FD2D65">
        <w:rPr>
          <w:sz w:val="22"/>
          <w:szCs w:val="22"/>
        </w:rPr>
        <w:t>In der ersten Teilaufgabe muss berechnet werden, mit welcher Wahrscheinlichkeit bei einmaligem Würfeln eine Sechs geworfen wird. Die Laplace-Wahrscheinlichkeit dient hier als naheliegendes mathematisches Modell (K3).</w:t>
      </w:r>
    </w:p>
    <w:p w:rsidR="00455873" w:rsidRPr="00FD2D65" w:rsidRDefault="00455873" w:rsidP="00455873">
      <w:pPr>
        <w:pStyle w:val="IQB-Standard"/>
        <w:rPr>
          <w:sz w:val="22"/>
          <w:szCs w:val="22"/>
        </w:rPr>
      </w:pPr>
      <w:r w:rsidRPr="00FD2D65">
        <w:rPr>
          <w:sz w:val="22"/>
          <w:szCs w:val="22"/>
        </w:rPr>
        <w:t xml:space="preserve">In der zweiten Teilaufgabe sollen die Lernenden die Aussage beurteilen (K6), dass beim einmaligen Würfeln die Wahrscheinlichkeit für eine bestimmte Augenzahl größer sein kann als die einer anderen Augenzahl. Auch hier kann die Laplace-Wahrscheinlichkeit als mathematisches Modell herangezogen werden (K3). Anschließend sollen die Schülerinnen und Schüler ihre Entscheidung argumentativ begründen (K1). </w:t>
      </w:r>
    </w:p>
    <w:p w:rsidR="00455873" w:rsidRPr="00FD2D65" w:rsidRDefault="00455873" w:rsidP="00455873">
      <w:pPr>
        <w:pStyle w:val="IQB-Standard"/>
        <w:rPr>
          <w:sz w:val="22"/>
          <w:szCs w:val="22"/>
        </w:rPr>
      </w:pPr>
      <w:r w:rsidRPr="00FD2D65">
        <w:rPr>
          <w:sz w:val="22"/>
          <w:szCs w:val="22"/>
        </w:rPr>
        <w:t>Die Teilaufgabe 1 gehört dem Anforderungsbereich I an, weil hier ein einfaches Standardmodell direkt verwendet werden kann. Die Teilaufgabe 2 fordert die Beurteilung einer einfachen Aussage und die Entwicklung einer eigenen Argumentation. Sie wird daher Anforderungsbereich II zugeordnet.</w:t>
      </w:r>
    </w:p>
    <w:p w:rsidR="00694A63" w:rsidRPr="00694A63" w:rsidRDefault="00694A63" w:rsidP="00694A63">
      <w:pPr>
        <w:pStyle w:val="IQB-Teilaufgabentitel"/>
        <w:rPr>
          <w:b/>
        </w:rPr>
      </w:pPr>
      <w:r w:rsidRPr="00694A63">
        <w:rPr>
          <w:b/>
        </w:rPr>
        <w:t>Anregungen für den Unterricht</w:t>
      </w:r>
    </w:p>
    <w:p w:rsidR="00455873" w:rsidRPr="009C3C97" w:rsidRDefault="00455873" w:rsidP="00455873">
      <w:pPr>
        <w:pStyle w:val="IQB-Standard"/>
        <w:rPr>
          <w:sz w:val="22"/>
          <w:szCs w:val="22"/>
        </w:rPr>
      </w:pPr>
      <w:r w:rsidRPr="009C3C97">
        <w:rPr>
          <w:sz w:val="22"/>
          <w:szCs w:val="22"/>
        </w:rPr>
        <w:t xml:space="preserve">Auch in anderen Situationen ist die Verwendung des Laplace-Modells nützlich. Dies trifft auch auf viele Glücksspiele zu, wie auch das Aufgabenbeispiel zeigt. Anhand des Spiels „Mensch ärgere dich nicht“ lassen sich diverse Situationen betrachten, in denen Wahrscheinlichkeitsrechnungen relevant sein können. So kann etwa die Wahrscheinlichkeit berechnet werden, dass in einer bestimmten Spielsituation zwei Figuren auf dasselbe Spielfeld treffen. Daraus können dann strategische Entscheidungen der Spieler mathematisch fundiert getroffen werden. </w:t>
      </w:r>
    </w:p>
    <w:p w:rsidR="00455873" w:rsidRPr="009C3C97" w:rsidRDefault="00455873" w:rsidP="00455873">
      <w:pPr>
        <w:pStyle w:val="IQB-Standard"/>
        <w:rPr>
          <w:sz w:val="22"/>
          <w:szCs w:val="22"/>
        </w:rPr>
      </w:pPr>
      <w:r w:rsidRPr="009C3C97">
        <w:rPr>
          <w:sz w:val="22"/>
          <w:szCs w:val="22"/>
        </w:rPr>
        <w:t>Spiele bieten die wertvolle Möglichkeit, die mathematischen Überlegungen stets auch anschaulich anhand einer Spielsituation zu verdeutlichen. Dazu kann es sinnvoll sein, viele Daten in kurzer Zeit zu ermitteln. Hier bieten neben dem parallelen Arbeiten in der Schulklasse auch Computersimulationen eine gute Möglichkeit. Mit geeigneter Software lassen sich ad hoc sehr viele Würfe eines Würfels simulieren. Damit können Spielsituationen auch empirisch nachvollzogen werden und theoretische Ergebnisse zu Wahrscheinlichkeiten überprüft werden.</w:t>
      </w:r>
    </w:p>
    <w:p w:rsidR="00455873" w:rsidRPr="009C3C97" w:rsidRDefault="00455873" w:rsidP="00455873">
      <w:pPr>
        <w:pStyle w:val="IQB-Standard"/>
        <w:rPr>
          <w:sz w:val="22"/>
          <w:szCs w:val="22"/>
        </w:rPr>
      </w:pPr>
      <w:r w:rsidRPr="009C3C97">
        <w:rPr>
          <w:sz w:val="22"/>
          <w:szCs w:val="22"/>
        </w:rPr>
        <w:t xml:space="preserve">Anhand des Spiels lassen sich insbesondere solche Aufgaben generieren, durch die die Kompetenz </w:t>
      </w:r>
      <w:r w:rsidRPr="009C3C97">
        <w:rPr>
          <w:i/>
          <w:sz w:val="22"/>
          <w:szCs w:val="22"/>
        </w:rPr>
        <w:t>Mathematisches Argumentieren</w:t>
      </w:r>
      <w:r w:rsidRPr="009C3C97">
        <w:rPr>
          <w:sz w:val="22"/>
          <w:szCs w:val="22"/>
        </w:rPr>
        <w:t xml:space="preserve"> (K1) gefördert wird. Dabei werden, wie in Teilaufgabe 2 auch, Behauptungen aufgestellt, deren Wahrheitsgehalt dann argumentativ ergründet wird. Einfache Beispiele dafür können wie folgt lauten: „Ich habe schon zweimal hintereinander eine 1 gewürfelt, die würfle ich bestimmt nicht noch einmal“, „In Reichweite eines Wurfs stehen zwei gegnerische Spielfiguren. Ich erwische einen von Ihnen mit einer Wahrscheinlichkeit von 2/3.“</w:t>
      </w:r>
    </w:p>
    <w:p w:rsidR="00455873" w:rsidRPr="009C3C97" w:rsidRDefault="00455873" w:rsidP="00455873">
      <w:pPr>
        <w:pStyle w:val="IQB-Standard"/>
        <w:rPr>
          <w:sz w:val="22"/>
          <w:szCs w:val="22"/>
        </w:rPr>
      </w:pPr>
      <w:r w:rsidRPr="009C3C97">
        <w:rPr>
          <w:sz w:val="22"/>
          <w:szCs w:val="22"/>
        </w:rPr>
        <w:t>Die Aufgabe „Merkwürdige Würfel“ (s.</w:t>
      </w:r>
      <w:r>
        <w:rPr>
          <w:sz w:val="11"/>
          <w:szCs w:val="11"/>
        </w:rPr>
        <w:t> </w:t>
      </w:r>
      <w:r w:rsidRPr="009C3C97">
        <w:rPr>
          <w:sz w:val="22"/>
          <w:szCs w:val="22"/>
        </w:rPr>
        <w:t xml:space="preserve">u.) spricht ein interessantes, äußerst überraschendes Phänomen aus dem Bereich „Glücksspiele“ an. Sie fordert die Lernenden zu stochastischen </w:t>
      </w:r>
      <w:r w:rsidRPr="009C3C97">
        <w:rPr>
          <w:sz w:val="22"/>
          <w:szCs w:val="22"/>
        </w:rPr>
        <w:lastRenderedPageBreak/>
        <w:t xml:space="preserve">Analysen heraus, regt Diskussionen an und lässt sich in verschiedenen Klassenstufen produktiv einsetzen (vgl. </w:t>
      </w:r>
      <w:proofErr w:type="spellStart"/>
      <w:r w:rsidRPr="009C3C97">
        <w:rPr>
          <w:sz w:val="22"/>
          <w:szCs w:val="22"/>
        </w:rPr>
        <w:t>Büchter</w:t>
      </w:r>
      <w:proofErr w:type="spellEnd"/>
      <w:r w:rsidRPr="009C3C97">
        <w:rPr>
          <w:sz w:val="22"/>
          <w:szCs w:val="22"/>
        </w:rPr>
        <w:t xml:space="preserve"> 2005: 45). Der „Trick“ in diesem Spiel: Der zweite Spieler kann unabhängig von der Wahl des ersten Spielers immer einen Würfel mit höheren Gewinnchancen finden.</w:t>
      </w:r>
    </w:p>
    <w:p w:rsidR="00455873" w:rsidRDefault="00455873" w:rsidP="00455873">
      <w:pPr>
        <w:pStyle w:val="IQB-Standard"/>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520"/>
      </w:tblGrid>
      <w:tr w:rsidR="00455873" w:rsidTr="00337876">
        <w:tc>
          <w:tcPr>
            <w:tcW w:w="9670" w:type="dxa"/>
          </w:tcPr>
          <w:p w:rsidR="00455873" w:rsidRDefault="00455873" w:rsidP="00337876">
            <w:r>
              <w:rPr>
                <w:noProof/>
              </w:rPr>
              <mc:AlternateContent>
                <mc:Choice Requires="wps">
                  <w:drawing>
                    <wp:anchor distT="0" distB="0" distL="114298" distR="114298" simplePos="0" relativeHeight="251659264" behindDoc="0" locked="0" layoutInCell="1" allowOverlap="1">
                      <wp:simplePos x="0" y="0"/>
                      <wp:positionH relativeFrom="column">
                        <wp:posOffset>-114300</wp:posOffset>
                      </wp:positionH>
                      <wp:positionV relativeFrom="paragraph">
                        <wp:posOffset>-88265</wp:posOffset>
                      </wp:positionV>
                      <wp:extent cx="3810" cy="5991860"/>
                      <wp:effectExtent l="35560" t="33655" r="36830" b="32385"/>
                      <wp:wrapNone/>
                      <wp:docPr id="3" name="Freihandform: 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5991860"/>
                              </a:xfrm>
                              <a:custGeom>
                                <a:avLst/>
                                <a:gdLst>
                                  <a:gd name="T0" fmla="*/ 0 w 6"/>
                                  <a:gd name="T1" fmla="*/ 0 h 9436"/>
                                  <a:gd name="T2" fmla="*/ 6 w 6"/>
                                  <a:gd name="T3" fmla="*/ 9436 h 9436"/>
                                </a:gdLst>
                                <a:ahLst/>
                                <a:cxnLst>
                                  <a:cxn ang="0">
                                    <a:pos x="T0" y="T1"/>
                                  </a:cxn>
                                  <a:cxn ang="0">
                                    <a:pos x="T2" y="T3"/>
                                  </a:cxn>
                                </a:cxnLst>
                                <a:rect l="0" t="0" r="r" b="b"/>
                                <a:pathLst>
                                  <a:path w="6" h="9436">
                                    <a:moveTo>
                                      <a:pt x="0" y="0"/>
                                    </a:moveTo>
                                    <a:lnTo>
                                      <a:pt x="6" y="9436"/>
                                    </a:lnTo>
                                  </a:path>
                                </a:pathLst>
                              </a:custGeom>
                              <a:noFill/>
                              <a:ln w="57150" algn="ctr">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35383C71" id="Freihandform: Form 3" o:spid="_x0000_s1026" style="position:absolute;z-index:2516592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v-text-anchor:top" points="-9pt,-6.95pt,-8.7pt,464.85pt" coordsize="6,9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" filled="f" strokecolor="#bfbfbf" strokeweight="4.5pt">
                      <v:path arrowok="t" o:connecttype="custom" o:connectlocs="0,0;3810,5991860" o:connectangles="0,0"/>
                    </v:polyline>
                  </w:pict>
                </mc:Fallback>
              </mc:AlternateContent>
            </w:r>
            <w:r w:rsidRPr="00D2488A">
              <w:rPr>
                <w:noProof/>
              </w:rPr>
              <w:drawing>
                <wp:inline distT="0" distB="0" distL="0" distR="0">
                  <wp:extent cx="4429125" cy="5829300"/>
                  <wp:effectExtent l="0" t="0" r="9525" b="0"/>
                  <wp:docPr id="2" name="Grafik 2" descr="Beschreibung: Büchter_2005_Ein Spiel mit merkwürdigen Würfeln_PM_4_S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descr="Beschreibung: Büchter_2005_Ein Spiel mit merkwürdigen Würfeln_PM_4_S45"/>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bwMode="auto">
                          <a:xfrm>
                            <a:off x="0" y="0"/>
                            <a:ext cx="4429125" cy="5829300"/>
                          </a:xfrm>
                          <a:prstGeom prst="rect">
                            <a:avLst/>
                          </a:prstGeom>
                          <a:noFill/>
                          <a:ln>
                            <a:noFill/>
                          </a:ln>
                        </pic:spPr>
                      </pic:pic>
                    </a:graphicData>
                  </a:graphic>
                </wp:inline>
              </w:drawing>
            </w:r>
          </w:p>
        </w:tc>
      </w:tr>
    </w:tbl>
    <w:p w:rsidR="00455873" w:rsidRPr="00455873" w:rsidRDefault="00455873" w:rsidP="00455873">
      <w:pPr>
        <w:rPr>
          <w:rFonts w:ascii="Arial" w:hAnsi="Arial" w:cs="Arial"/>
          <w:sz w:val="22"/>
        </w:rPr>
      </w:pPr>
      <w:r w:rsidRPr="00455873">
        <w:rPr>
          <w:rFonts w:ascii="Arial" w:hAnsi="Arial" w:cs="Arial"/>
          <w:sz w:val="22"/>
        </w:rPr>
        <w:t xml:space="preserve">Abbildung: Quelle: </w:t>
      </w:r>
      <w:r w:rsidRPr="00455873">
        <w:rPr>
          <w:rFonts w:ascii="Arial" w:hAnsi="Arial" w:cs="Arial"/>
          <w:b/>
          <w:sz w:val="22"/>
          <w:szCs w:val="18"/>
        </w:rPr>
        <w:t xml:space="preserve">© </w:t>
      </w:r>
      <w:proofErr w:type="spellStart"/>
      <w:r w:rsidRPr="00455873">
        <w:rPr>
          <w:rFonts w:ascii="Arial" w:hAnsi="Arial" w:cs="Arial"/>
          <w:sz w:val="22"/>
        </w:rPr>
        <w:t>Büchter</w:t>
      </w:r>
      <w:proofErr w:type="spellEnd"/>
      <w:r w:rsidRPr="00455873">
        <w:rPr>
          <w:rFonts w:ascii="Arial" w:hAnsi="Arial" w:cs="Arial"/>
          <w:sz w:val="22"/>
        </w:rPr>
        <w:t>, Andreas 2005: Ein Spiel mit merkwürdigen Würfeln; In: Praxis der Mathematik in der Schule; Nr. 4; S. 45-46</w:t>
      </w:r>
    </w:p>
    <w:p w:rsidR="00694A63" w:rsidRPr="00455873" w:rsidRDefault="00694A63" w:rsidP="00455873">
      <w:pPr>
        <w:pStyle w:val="IQB-Standard"/>
        <w:rPr>
          <w:rFonts w:cs="Arial"/>
          <w:sz w:val="20"/>
          <w:szCs w:val="22"/>
        </w:rPr>
      </w:pPr>
      <w:bookmarkStart w:id="0" w:name="_GoBack"/>
      <w:bookmarkEnd w:id="0"/>
    </w:p>
    <w:sectPr w:rsidR="00694A63" w:rsidRPr="00455873"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212CC795-C27B-48B8-B7D7-0794F444841C}"/>
    <w:embedBold r:id="rId2" w:fontKey="{E094E2FE-58D2-4E29-BF51-056C85CE8850}"/>
    <w:embedItalic r:id="rId3" w:fontKey="{40DB93DC-239C-4C0D-9140-F870E7B09273}"/>
    <w:embedBoldItalic r:id="rId4" w:fontKey="{B57AB94A-855E-4CAA-89CE-EAC39C310611}"/>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
  </w:num>
  <w:num w:numId="3">
    <w:abstractNumId w:val="0"/>
  </w:num>
  <w:num w:numId="4">
    <w:abstractNumId w:val="7"/>
  </w:num>
  <w:num w:numId="5">
    <w:abstractNumId w:val="4"/>
  </w:num>
  <w:num w:numId="6">
    <w:abstractNumId w:val="5"/>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37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587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611A"/>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3729"/>
    <o:shapelayout v:ext="edit">
      <o:idmap v:ext="edit" data="1"/>
    </o:shapelayout>
  </w:shapeDefaults>
  <w:decimalSymbol w:val=","/>
  <w:listSeparator w:val=";"/>
  <w14:docId w14:val="69F3870E"/>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5C4916-9666-4FF6-A2DC-27F1A6D3B4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558</Words>
  <Characters>3213</Characters>
  <Application>Microsoft Office Word</Application>
  <DocSecurity>0</DocSecurity>
  <Lines>160</Lines>
  <Paragraphs>130</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2025-06-03T13:17:00Z</dcterms:created>
  <dcterms:modified xsi:type="dcterms:W3CDTF">2025-06-03T13:17:00Z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